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Ind w:w="-255" w:type="dxa"/>
        <w:tblBorders>
          <w:top w:val="single" w:sz="4" w:space="0" w:color="auto"/>
          <w:left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080"/>
        <w:gridCol w:w="466"/>
        <w:gridCol w:w="2234"/>
        <w:gridCol w:w="270"/>
        <w:gridCol w:w="900"/>
        <w:gridCol w:w="540"/>
        <w:gridCol w:w="1530"/>
        <w:gridCol w:w="1080"/>
        <w:gridCol w:w="1980"/>
      </w:tblGrid>
      <w:tr w:rsidR="00116006" w:rsidRPr="000578DE" w14:paraId="6D5F877B" w14:textId="77777777" w:rsidTr="00901180">
        <w:tblPrEx>
          <w:tblCellMar>
            <w:top w:w="0" w:type="dxa"/>
            <w:left w:w="0" w:type="dxa"/>
            <w:bottom w:w="0" w:type="dxa"/>
            <w:right w:w="0" w:type="dxa"/>
          </w:tblCellMar>
        </w:tblPrEx>
        <w:trPr>
          <w:cantSplit/>
          <w:trHeight w:val="390"/>
        </w:trPr>
        <w:tc>
          <w:tcPr>
            <w:tcW w:w="4050" w:type="dxa"/>
            <w:gridSpan w:val="4"/>
            <w:vMerge w:val="restart"/>
            <w:tcBorders>
              <w:top w:val="single" w:sz="12" w:space="0" w:color="auto"/>
              <w:left w:val="single" w:sz="12" w:space="0" w:color="auto"/>
              <w:bottom w:val="nil"/>
              <w:right w:val="single" w:sz="6" w:space="0" w:color="auto"/>
            </w:tcBorders>
            <w:vAlign w:val="center"/>
          </w:tcPr>
          <w:p w14:paraId="372F88A3" w14:textId="77777777" w:rsidR="00116006" w:rsidRPr="000578DE" w:rsidRDefault="00116006" w:rsidP="00901180">
            <w:pPr>
              <w:rPr>
                <w:sz w:val="16"/>
                <w:lang w:val="ru-RU"/>
              </w:rPr>
            </w:pPr>
          </w:p>
        </w:tc>
        <w:tc>
          <w:tcPr>
            <w:tcW w:w="1440" w:type="dxa"/>
            <w:gridSpan w:val="2"/>
            <w:tcBorders>
              <w:top w:val="single" w:sz="12" w:space="0" w:color="auto"/>
              <w:left w:val="single" w:sz="6" w:space="0" w:color="auto"/>
              <w:bottom w:val="single" w:sz="6" w:space="0" w:color="auto"/>
              <w:right w:val="nil"/>
            </w:tcBorders>
            <w:vAlign w:val="center"/>
          </w:tcPr>
          <w:p w14:paraId="3599AF48" w14:textId="77777777" w:rsidR="00116006" w:rsidRPr="000578DE" w:rsidRDefault="00116006" w:rsidP="00901180">
            <w:pPr>
              <w:pStyle w:val="4"/>
              <w:jc w:val="center"/>
              <w:rPr>
                <w:sz w:val="20"/>
                <w:lang w:val="ru-RU"/>
              </w:rPr>
            </w:pPr>
            <w:r w:rsidRPr="000578DE">
              <w:rPr>
                <w:sz w:val="20"/>
                <w:lang w:val="ru-RU"/>
              </w:rPr>
              <w:t>СИСТЕМА КРИТЕРИЕВ КАЧЕСТВА</w:t>
            </w:r>
          </w:p>
        </w:tc>
        <w:tc>
          <w:tcPr>
            <w:tcW w:w="4590" w:type="dxa"/>
            <w:gridSpan w:val="3"/>
            <w:tcBorders>
              <w:top w:val="single" w:sz="12" w:space="0" w:color="auto"/>
              <w:left w:val="nil"/>
              <w:bottom w:val="single" w:sz="6" w:space="0" w:color="auto"/>
              <w:right w:val="single" w:sz="12" w:space="0" w:color="auto"/>
            </w:tcBorders>
            <w:vAlign w:val="center"/>
          </w:tcPr>
          <w:p w14:paraId="63E61D5E" w14:textId="77777777" w:rsidR="00116006" w:rsidRPr="000578DE" w:rsidRDefault="00116006" w:rsidP="00901180">
            <w:pPr>
              <w:pStyle w:val="ac"/>
              <w:tabs>
                <w:tab w:val="clear" w:pos="4819"/>
                <w:tab w:val="clear" w:pos="9071"/>
              </w:tabs>
              <w:jc w:val="right"/>
              <w:rPr>
                <w:rFonts w:ascii="Arial" w:hAnsi="Arial"/>
                <w:b/>
                <w:sz w:val="24"/>
                <w:u w:val="single"/>
                <w:lang w:val="ru-RU"/>
              </w:rPr>
            </w:pPr>
            <w:r w:rsidRPr="000578DE">
              <w:rPr>
                <w:rFonts w:ascii="Arial" w:hAnsi="Arial"/>
                <w:b/>
                <w:sz w:val="24"/>
                <w:u w:val="single"/>
                <w:lang w:val="ru-RU"/>
              </w:rPr>
              <w:t>РУКОВОДСТВО ПО</w:t>
            </w:r>
          </w:p>
          <w:p w14:paraId="0E01928B" w14:textId="77777777" w:rsidR="00116006" w:rsidRPr="000578DE" w:rsidRDefault="00116006" w:rsidP="00901180">
            <w:pPr>
              <w:pStyle w:val="ac"/>
              <w:tabs>
                <w:tab w:val="clear" w:pos="4819"/>
                <w:tab w:val="clear" w:pos="9071"/>
              </w:tabs>
              <w:jc w:val="right"/>
              <w:rPr>
                <w:rFonts w:ascii="Arial" w:hAnsi="Arial"/>
                <w:b/>
                <w:sz w:val="24"/>
                <w:u w:val="single"/>
                <w:lang w:val="ru-RU"/>
              </w:rPr>
            </w:pPr>
            <w:r w:rsidRPr="000578DE">
              <w:rPr>
                <w:rFonts w:ascii="Arial" w:hAnsi="Arial"/>
                <w:b/>
                <w:sz w:val="24"/>
                <w:u w:val="single"/>
                <w:lang w:val="ru-RU"/>
              </w:rPr>
              <w:t>СИСТЕМЕ УПРАВЛЕНИЯ ТЕХНИКОЙ БЕЗОПАСНОСТИ, ОХРАНОЙ ТРУДА И ОКРУЖАЮЩЕЙ СРЕДЫ</w:t>
            </w:r>
          </w:p>
        </w:tc>
      </w:tr>
      <w:tr w:rsidR="00116006" w:rsidRPr="000578DE" w14:paraId="2F4CB61B" w14:textId="77777777" w:rsidTr="00901180">
        <w:tblPrEx>
          <w:tblCellMar>
            <w:top w:w="0" w:type="dxa"/>
            <w:left w:w="0" w:type="dxa"/>
            <w:bottom w:w="0" w:type="dxa"/>
            <w:right w:w="0" w:type="dxa"/>
          </w:tblCellMar>
        </w:tblPrEx>
        <w:trPr>
          <w:cantSplit/>
          <w:trHeight w:val="389"/>
        </w:trPr>
        <w:tc>
          <w:tcPr>
            <w:tcW w:w="4050" w:type="dxa"/>
            <w:gridSpan w:val="4"/>
            <w:vMerge/>
            <w:tcBorders>
              <w:top w:val="nil"/>
              <w:left w:val="single" w:sz="12" w:space="0" w:color="auto"/>
              <w:bottom w:val="nil"/>
              <w:right w:val="single" w:sz="6" w:space="0" w:color="auto"/>
            </w:tcBorders>
            <w:vAlign w:val="center"/>
          </w:tcPr>
          <w:p w14:paraId="04DD613D" w14:textId="77777777" w:rsidR="00116006" w:rsidRPr="000578DE" w:rsidRDefault="00116006" w:rsidP="00901180">
            <w:pPr>
              <w:rPr>
                <w:rFonts w:ascii="Arial" w:hAnsi="Arial"/>
                <w:sz w:val="36"/>
                <w:lang w:val="ru-RU"/>
              </w:rPr>
            </w:pPr>
          </w:p>
        </w:tc>
        <w:tc>
          <w:tcPr>
            <w:tcW w:w="4050" w:type="dxa"/>
            <w:gridSpan w:val="4"/>
            <w:tcBorders>
              <w:top w:val="single" w:sz="6" w:space="0" w:color="auto"/>
              <w:left w:val="single" w:sz="6" w:space="0" w:color="auto"/>
              <w:bottom w:val="nil"/>
              <w:right w:val="nil"/>
            </w:tcBorders>
            <w:vAlign w:val="center"/>
          </w:tcPr>
          <w:p w14:paraId="3BE815D6" w14:textId="77777777" w:rsidR="00116006" w:rsidRPr="000578DE" w:rsidRDefault="00116006" w:rsidP="00901180">
            <w:pPr>
              <w:pStyle w:val="4"/>
              <w:jc w:val="center"/>
              <w:rPr>
                <w:sz w:val="26"/>
                <w:lang w:val="ru-RU"/>
              </w:rPr>
            </w:pPr>
            <w:r w:rsidRPr="000578DE">
              <w:rPr>
                <w:sz w:val="26"/>
                <w:lang w:val="ru-RU"/>
              </w:rPr>
              <w:t xml:space="preserve">УРОВЕНЬ </w:t>
            </w:r>
            <w:proofErr w:type="gramStart"/>
            <w:r w:rsidRPr="000578DE">
              <w:rPr>
                <w:sz w:val="26"/>
                <w:lang w:val="ru-RU"/>
              </w:rPr>
              <w:t>3</w:t>
            </w:r>
            <w:r w:rsidRPr="00ED383B">
              <w:rPr>
                <w:sz w:val="20"/>
                <w:lang w:val="ru-RU"/>
              </w:rPr>
              <w:t>:  РАБОЧАЯ</w:t>
            </w:r>
            <w:proofErr w:type="gramEnd"/>
            <w:r w:rsidRPr="00ED383B">
              <w:rPr>
                <w:sz w:val="20"/>
                <w:lang w:val="ru-RU"/>
              </w:rPr>
              <w:t xml:space="preserve"> ИНСТРУКЦИЯ №</w:t>
            </w:r>
          </w:p>
        </w:tc>
        <w:tc>
          <w:tcPr>
            <w:tcW w:w="1980" w:type="dxa"/>
            <w:tcBorders>
              <w:top w:val="single" w:sz="6" w:space="0" w:color="auto"/>
              <w:left w:val="nil"/>
              <w:bottom w:val="nil"/>
              <w:right w:val="single" w:sz="12" w:space="0" w:color="auto"/>
            </w:tcBorders>
            <w:vAlign w:val="center"/>
          </w:tcPr>
          <w:p w14:paraId="519A80D1" w14:textId="77777777" w:rsidR="00116006" w:rsidRPr="00ED383B" w:rsidRDefault="00116006" w:rsidP="00901180">
            <w:pPr>
              <w:pStyle w:val="4"/>
              <w:jc w:val="center"/>
              <w:rPr>
                <w:b/>
              </w:rPr>
            </w:pPr>
          </w:p>
        </w:tc>
      </w:tr>
      <w:tr w:rsidR="00116006" w:rsidRPr="000578DE" w14:paraId="7FD3060B" w14:textId="77777777" w:rsidTr="00901180">
        <w:tblPrEx>
          <w:tblCellMar>
            <w:top w:w="0" w:type="dxa"/>
            <w:left w:w="0" w:type="dxa"/>
            <w:bottom w:w="0" w:type="dxa"/>
            <w:right w:w="0" w:type="dxa"/>
          </w:tblCellMar>
        </w:tblPrEx>
        <w:trPr>
          <w:cantSplit/>
          <w:trHeight w:val="295"/>
        </w:trPr>
        <w:tc>
          <w:tcPr>
            <w:tcW w:w="1546" w:type="dxa"/>
            <w:gridSpan w:val="2"/>
            <w:vMerge w:val="restart"/>
            <w:tcBorders>
              <w:top w:val="single" w:sz="6" w:space="0" w:color="auto"/>
              <w:left w:val="single" w:sz="12" w:space="0" w:color="auto"/>
              <w:bottom w:val="nil"/>
              <w:right w:val="nil"/>
            </w:tcBorders>
          </w:tcPr>
          <w:p w14:paraId="2CF2FE08" w14:textId="77777777" w:rsidR="00116006" w:rsidRPr="000578DE" w:rsidRDefault="00116006" w:rsidP="00901180">
            <w:pPr>
              <w:jc w:val="right"/>
              <w:rPr>
                <w:rFonts w:ascii="Arial" w:hAnsi="Arial"/>
                <w:sz w:val="24"/>
                <w:lang w:val="ru-RU"/>
              </w:rPr>
            </w:pPr>
            <w:r w:rsidRPr="000578DE">
              <w:rPr>
                <w:rFonts w:ascii="Arial" w:hAnsi="Arial"/>
                <w:sz w:val="24"/>
                <w:lang w:val="ru-RU"/>
              </w:rPr>
              <w:t>НАЗВАНИЕ:</w:t>
            </w:r>
          </w:p>
        </w:tc>
        <w:tc>
          <w:tcPr>
            <w:tcW w:w="5474" w:type="dxa"/>
            <w:gridSpan w:val="5"/>
            <w:vMerge w:val="restart"/>
            <w:tcBorders>
              <w:top w:val="single" w:sz="6" w:space="0" w:color="auto"/>
              <w:left w:val="nil"/>
              <w:bottom w:val="nil"/>
              <w:right w:val="single" w:sz="6" w:space="0" w:color="auto"/>
            </w:tcBorders>
            <w:vAlign w:val="center"/>
          </w:tcPr>
          <w:p w14:paraId="010832AE" w14:textId="77777777" w:rsidR="00116006" w:rsidRPr="000578DE" w:rsidRDefault="00116006" w:rsidP="00901180">
            <w:pPr>
              <w:pStyle w:val="5"/>
              <w:rPr>
                <w:lang w:val="ru-RU"/>
              </w:rPr>
            </w:pPr>
            <w:r w:rsidRPr="000578DE">
              <w:rPr>
                <w:lang w:val="ru-RU"/>
              </w:rPr>
              <w:t>ОПАСНЫЕ УЧАСТКИ</w:t>
            </w:r>
          </w:p>
        </w:tc>
        <w:tc>
          <w:tcPr>
            <w:tcW w:w="1080" w:type="dxa"/>
            <w:tcBorders>
              <w:top w:val="single" w:sz="6" w:space="0" w:color="auto"/>
              <w:left w:val="single" w:sz="6" w:space="0" w:color="auto"/>
              <w:bottom w:val="single" w:sz="6" w:space="0" w:color="auto"/>
              <w:right w:val="nil"/>
            </w:tcBorders>
            <w:vAlign w:val="center"/>
          </w:tcPr>
          <w:p w14:paraId="328CF269" w14:textId="77777777" w:rsidR="00116006" w:rsidRPr="000578DE" w:rsidRDefault="00116006" w:rsidP="00901180">
            <w:pPr>
              <w:jc w:val="right"/>
              <w:rPr>
                <w:rFonts w:ascii="Arial" w:hAnsi="Arial"/>
                <w:sz w:val="16"/>
                <w:lang w:val="ru-RU"/>
              </w:rPr>
            </w:pPr>
            <w:r w:rsidRPr="000578DE">
              <w:rPr>
                <w:rFonts w:ascii="Arial" w:hAnsi="Arial"/>
                <w:sz w:val="16"/>
                <w:lang w:val="ru-RU"/>
              </w:rPr>
              <w:t>Дата:</w:t>
            </w:r>
          </w:p>
        </w:tc>
        <w:tc>
          <w:tcPr>
            <w:tcW w:w="1980" w:type="dxa"/>
            <w:tcBorders>
              <w:top w:val="single" w:sz="6" w:space="0" w:color="auto"/>
              <w:left w:val="nil"/>
              <w:bottom w:val="single" w:sz="6" w:space="0" w:color="auto"/>
              <w:right w:val="single" w:sz="12" w:space="0" w:color="auto"/>
            </w:tcBorders>
            <w:vAlign w:val="center"/>
          </w:tcPr>
          <w:p w14:paraId="643C7EA2" w14:textId="77777777" w:rsidR="00116006" w:rsidRPr="000578DE" w:rsidRDefault="00116006" w:rsidP="00901180">
            <w:pPr>
              <w:jc w:val="center"/>
              <w:rPr>
                <w:rFonts w:ascii="Arial" w:hAnsi="Arial"/>
                <w:sz w:val="18"/>
                <w:lang w:val="ru-RU"/>
              </w:rPr>
            </w:pPr>
          </w:p>
        </w:tc>
      </w:tr>
      <w:tr w:rsidR="00116006" w:rsidRPr="000578DE" w14:paraId="30C81803" w14:textId="77777777" w:rsidTr="00901180">
        <w:tblPrEx>
          <w:tblCellMar>
            <w:top w:w="0" w:type="dxa"/>
            <w:left w:w="0" w:type="dxa"/>
            <w:bottom w:w="0" w:type="dxa"/>
            <w:right w:w="0" w:type="dxa"/>
          </w:tblCellMar>
        </w:tblPrEx>
        <w:trPr>
          <w:cantSplit/>
          <w:trHeight w:val="295"/>
        </w:trPr>
        <w:tc>
          <w:tcPr>
            <w:tcW w:w="1546" w:type="dxa"/>
            <w:gridSpan w:val="2"/>
            <w:vMerge/>
            <w:tcBorders>
              <w:top w:val="nil"/>
              <w:left w:val="single" w:sz="12" w:space="0" w:color="auto"/>
              <w:bottom w:val="nil"/>
              <w:right w:val="nil"/>
            </w:tcBorders>
          </w:tcPr>
          <w:p w14:paraId="5D9BDFD0" w14:textId="77777777" w:rsidR="00116006" w:rsidRPr="000578DE" w:rsidRDefault="00116006" w:rsidP="00901180">
            <w:pPr>
              <w:jc w:val="right"/>
              <w:rPr>
                <w:rFonts w:ascii="Arial" w:hAnsi="Arial"/>
                <w:lang w:val="ru-RU"/>
              </w:rPr>
            </w:pPr>
          </w:p>
        </w:tc>
        <w:tc>
          <w:tcPr>
            <w:tcW w:w="5474" w:type="dxa"/>
            <w:gridSpan w:val="5"/>
            <w:vMerge/>
            <w:tcBorders>
              <w:top w:val="nil"/>
              <w:left w:val="nil"/>
              <w:bottom w:val="nil"/>
              <w:right w:val="single" w:sz="6" w:space="0" w:color="auto"/>
            </w:tcBorders>
          </w:tcPr>
          <w:p w14:paraId="3FE6064E" w14:textId="77777777" w:rsidR="00116006" w:rsidRPr="000578DE" w:rsidRDefault="00116006" w:rsidP="00901180">
            <w:pPr>
              <w:rPr>
                <w:rFonts w:ascii="Arial" w:hAnsi="Arial"/>
                <w:sz w:val="24"/>
                <w:lang w:val="ru-RU"/>
              </w:rPr>
            </w:pPr>
          </w:p>
        </w:tc>
        <w:tc>
          <w:tcPr>
            <w:tcW w:w="1080" w:type="dxa"/>
            <w:tcBorders>
              <w:top w:val="single" w:sz="6" w:space="0" w:color="auto"/>
              <w:left w:val="single" w:sz="6" w:space="0" w:color="auto"/>
              <w:bottom w:val="nil"/>
              <w:right w:val="nil"/>
            </w:tcBorders>
            <w:vAlign w:val="center"/>
          </w:tcPr>
          <w:p w14:paraId="768CACB5" w14:textId="77777777" w:rsidR="00116006" w:rsidRPr="000578DE" w:rsidRDefault="00116006" w:rsidP="00901180">
            <w:pPr>
              <w:jc w:val="right"/>
              <w:rPr>
                <w:rFonts w:ascii="Arial" w:hAnsi="Arial"/>
                <w:sz w:val="16"/>
                <w:lang w:val="ru-RU"/>
              </w:rPr>
            </w:pPr>
            <w:r w:rsidRPr="000578DE">
              <w:rPr>
                <w:rFonts w:ascii="Arial" w:hAnsi="Arial"/>
                <w:sz w:val="16"/>
                <w:lang w:val="ru-RU"/>
              </w:rPr>
              <w:t>Изменение:</w:t>
            </w:r>
          </w:p>
        </w:tc>
        <w:tc>
          <w:tcPr>
            <w:tcW w:w="1980" w:type="dxa"/>
            <w:tcBorders>
              <w:top w:val="single" w:sz="6" w:space="0" w:color="auto"/>
              <w:left w:val="nil"/>
              <w:bottom w:val="nil"/>
              <w:right w:val="single" w:sz="12" w:space="0" w:color="auto"/>
            </w:tcBorders>
            <w:vAlign w:val="center"/>
          </w:tcPr>
          <w:p w14:paraId="0DCA9BCF" w14:textId="77777777" w:rsidR="00116006" w:rsidRPr="000578DE" w:rsidRDefault="00116006" w:rsidP="00901180">
            <w:pPr>
              <w:jc w:val="center"/>
              <w:rPr>
                <w:rFonts w:ascii="Arial" w:hAnsi="Arial"/>
                <w:sz w:val="18"/>
                <w:lang w:val="ru-RU"/>
              </w:rPr>
            </w:pPr>
          </w:p>
        </w:tc>
      </w:tr>
      <w:tr w:rsidR="00116006" w:rsidRPr="000578DE" w14:paraId="0B9072D6" w14:textId="77777777" w:rsidTr="00901180">
        <w:tblPrEx>
          <w:tblCellMar>
            <w:top w:w="0" w:type="dxa"/>
            <w:left w:w="0" w:type="dxa"/>
            <w:bottom w:w="0" w:type="dxa"/>
            <w:right w:w="0" w:type="dxa"/>
          </w:tblCellMar>
        </w:tblPrEx>
        <w:trPr>
          <w:cantSplit/>
          <w:trHeight w:val="295"/>
        </w:trPr>
        <w:tc>
          <w:tcPr>
            <w:tcW w:w="1080" w:type="dxa"/>
            <w:tcBorders>
              <w:top w:val="single" w:sz="6" w:space="0" w:color="auto"/>
              <w:left w:val="single" w:sz="12" w:space="0" w:color="auto"/>
              <w:bottom w:val="single" w:sz="12" w:space="0" w:color="auto"/>
              <w:right w:val="nil"/>
            </w:tcBorders>
            <w:vAlign w:val="center"/>
          </w:tcPr>
          <w:p w14:paraId="074DED55" w14:textId="77777777" w:rsidR="00116006" w:rsidRPr="000578DE" w:rsidRDefault="00116006" w:rsidP="00901180">
            <w:pPr>
              <w:jc w:val="right"/>
              <w:rPr>
                <w:rFonts w:ascii="Arial" w:hAnsi="Arial"/>
                <w:sz w:val="16"/>
                <w:lang w:val="ru-RU"/>
              </w:rPr>
            </w:pPr>
            <w:r w:rsidRPr="000578DE">
              <w:rPr>
                <w:rFonts w:ascii="Arial" w:hAnsi="Arial"/>
                <w:sz w:val="16"/>
                <w:lang w:val="ru-RU"/>
              </w:rPr>
              <w:t>Утверждено:</w:t>
            </w:r>
          </w:p>
        </w:tc>
        <w:tc>
          <w:tcPr>
            <w:tcW w:w="2700" w:type="dxa"/>
            <w:gridSpan w:val="2"/>
            <w:tcBorders>
              <w:top w:val="single" w:sz="6" w:space="0" w:color="auto"/>
              <w:left w:val="nil"/>
              <w:bottom w:val="single" w:sz="12" w:space="0" w:color="auto"/>
              <w:right w:val="single" w:sz="6" w:space="0" w:color="auto"/>
            </w:tcBorders>
            <w:vAlign w:val="center"/>
          </w:tcPr>
          <w:p w14:paraId="539678DF" w14:textId="77777777" w:rsidR="00116006" w:rsidRPr="000578DE" w:rsidRDefault="00116006" w:rsidP="00901180">
            <w:pPr>
              <w:rPr>
                <w:rFonts w:ascii="Arial" w:hAnsi="Arial"/>
                <w:sz w:val="24"/>
                <w:lang w:val="ru-RU"/>
              </w:rPr>
            </w:pPr>
          </w:p>
        </w:tc>
        <w:tc>
          <w:tcPr>
            <w:tcW w:w="1170" w:type="dxa"/>
            <w:gridSpan w:val="2"/>
            <w:tcBorders>
              <w:top w:val="single" w:sz="6" w:space="0" w:color="auto"/>
              <w:left w:val="nil"/>
              <w:bottom w:val="single" w:sz="12" w:space="0" w:color="auto"/>
              <w:right w:val="nil"/>
            </w:tcBorders>
            <w:vAlign w:val="center"/>
          </w:tcPr>
          <w:p w14:paraId="4EA7D62E" w14:textId="77777777" w:rsidR="00116006" w:rsidRPr="000578DE" w:rsidRDefault="00116006" w:rsidP="00901180">
            <w:pPr>
              <w:jc w:val="right"/>
              <w:rPr>
                <w:rFonts w:ascii="Arial" w:hAnsi="Arial"/>
                <w:sz w:val="16"/>
                <w:lang w:val="ru-RU"/>
              </w:rPr>
            </w:pPr>
            <w:r w:rsidRPr="000578DE">
              <w:rPr>
                <w:rFonts w:ascii="Arial" w:hAnsi="Arial"/>
                <w:sz w:val="16"/>
                <w:lang w:val="ru-RU"/>
              </w:rPr>
              <w:t>Разрешено:</w:t>
            </w:r>
          </w:p>
        </w:tc>
        <w:tc>
          <w:tcPr>
            <w:tcW w:w="2070" w:type="dxa"/>
            <w:gridSpan w:val="2"/>
            <w:tcBorders>
              <w:top w:val="single" w:sz="6" w:space="0" w:color="auto"/>
              <w:left w:val="nil"/>
              <w:bottom w:val="single" w:sz="12" w:space="0" w:color="auto"/>
              <w:right w:val="single" w:sz="6" w:space="0" w:color="auto"/>
            </w:tcBorders>
            <w:vAlign w:val="center"/>
          </w:tcPr>
          <w:p w14:paraId="17D09461" w14:textId="77777777" w:rsidR="00116006" w:rsidRPr="000578DE" w:rsidRDefault="00116006" w:rsidP="00901180">
            <w:pPr>
              <w:rPr>
                <w:rFonts w:ascii="Arial" w:hAnsi="Arial"/>
                <w:sz w:val="24"/>
                <w:lang w:val="ru-RU"/>
              </w:rPr>
            </w:pPr>
          </w:p>
        </w:tc>
        <w:tc>
          <w:tcPr>
            <w:tcW w:w="1080" w:type="dxa"/>
            <w:tcBorders>
              <w:top w:val="single" w:sz="6" w:space="0" w:color="auto"/>
              <w:left w:val="single" w:sz="6" w:space="0" w:color="auto"/>
              <w:bottom w:val="single" w:sz="12" w:space="0" w:color="auto"/>
              <w:right w:val="nil"/>
            </w:tcBorders>
            <w:vAlign w:val="center"/>
          </w:tcPr>
          <w:p w14:paraId="37D915C5" w14:textId="77777777" w:rsidR="00116006" w:rsidRPr="000578DE" w:rsidRDefault="00116006" w:rsidP="00901180">
            <w:pPr>
              <w:jc w:val="right"/>
              <w:rPr>
                <w:rFonts w:ascii="Arial" w:hAnsi="Arial"/>
                <w:sz w:val="16"/>
                <w:lang w:val="ru-RU"/>
              </w:rPr>
            </w:pPr>
            <w:r w:rsidRPr="000578DE">
              <w:rPr>
                <w:rFonts w:ascii="Arial" w:hAnsi="Arial"/>
                <w:sz w:val="16"/>
                <w:lang w:val="ru-RU"/>
              </w:rPr>
              <w:t>Количество страниц:</w:t>
            </w:r>
          </w:p>
        </w:tc>
        <w:tc>
          <w:tcPr>
            <w:tcW w:w="1980" w:type="dxa"/>
            <w:tcBorders>
              <w:top w:val="single" w:sz="6" w:space="0" w:color="auto"/>
              <w:left w:val="nil"/>
              <w:bottom w:val="single" w:sz="12" w:space="0" w:color="auto"/>
              <w:right w:val="single" w:sz="12" w:space="0" w:color="auto"/>
            </w:tcBorders>
            <w:vAlign w:val="center"/>
          </w:tcPr>
          <w:p w14:paraId="1E24F9D0" w14:textId="77777777" w:rsidR="00116006" w:rsidRPr="000578DE" w:rsidRDefault="00116006" w:rsidP="00901180">
            <w:pPr>
              <w:jc w:val="center"/>
              <w:rPr>
                <w:rFonts w:ascii="Arial" w:hAnsi="Arial"/>
                <w:sz w:val="18"/>
                <w:lang w:val="ru-RU"/>
              </w:rPr>
            </w:pPr>
          </w:p>
        </w:tc>
      </w:tr>
    </w:tbl>
    <w:p w14:paraId="3F924027" w14:textId="77777777" w:rsidR="00116006" w:rsidRPr="000578DE" w:rsidRDefault="00116006" w:rsidP="00116006">
      <w:pPr>
        <w:rPr>
          <w:rFonts w:ascii="Arial" w:hAnsi="Arial"/>
          <w:lang w:val="ru-RU"/>
        </w:rPr>
      </w:pPr>
    </w:p>
    <w:p w14:paraId="68B3EBC9" w14:textId="77777777" w:rsidR="00116006" w:rsidRPr="000578DE" w:rsidRDefault="00116006" w:rsidP="00116006">
      <w:pPr>
        <w:jc w:val="both"/>
        <w:rPr>
          <w:rFonts w:ascii="Arial" w:hAnsi="Arial"/>
          <w:b/>
          <w:color w:val="000000"/>
          <w:u w:val="single"/>
          <w:lang w:val="ru-RU"/>
        </w:rPr>
      </w:pPr>
      <w:r w:rsidRPr="000578DE">
        <w:rPr>
          <w:rFonts w:ascii="Arial" w:hAnsi="Arial"/>
          <w:b/>
          <w:color w:val="000000"/>
          <w:lang w:val="ru-RU"/>
        </w:rPr>
        <w:t>1.0</w:t>
      </w:r>
      <w:r w:rsidRPr="000578DE">
        <w:rPr>
          <w:rFonts w:ascii="Arial" w:hAnsi="Arial"/>
          <w:b/>
          <w:color w:val="000000"/>
          <w:lang w:val="ru-RU"/>
        </w:rPr>
        <w:tab/>
      </w:r>
      <w:r w:rsidRPr="000578DE">
        <w:rPr>
          <w:rFonts w:ascii="Arial" w:hAnsi="Arial"/>
          <w:b/>
          <w:color w:val="000000"/>
          <w:u w:val="single"/>
          <w:lang w:val="ru-RU"/>
        </w:rPr>
        <w:t>Введение</w:t>
      </w:r>
    </w:p>
    <w:p w14:paraId="59697322" w14:textId="77777777" w:rsidR="00116006" w:rsidRPr="000578DE" w:rsidRDefault="00116006" w:rsidP="00116006">
      <w:pPr>
        <w:ind w:left="720"/>
        <w:jc w:val="both"/>
        <w:rPr>
          <w:rFonts w:ascii="Arial" w:hAnsi="Arial"/>
          <w:color w:val="000000"/>
          <w:lang w:val="ru-RU"/>
        </w:rPr>
      </w:pPr>
      <w:r w:rsidRPr="000578DE">
        <w:rPr>
          <w:rFonts w:ascii="Arial" w:hAnsi="Arial"/>
          <w:color w:val="000000"/>
          <w:lang w:val="ru-RU"/>
        </w:rPr>
        <w:t>В случае хранения или обслуживания воспламеняющих веществ, например, углеводородов, существует риск утечки и накопления горючих газов, которые могут вызвать пожар или взрыв.  Участки, на которых существуют такие потенциальные опасности, считаются Опасными участками.</w:t>
      </w:r>
    </w:p>
    <w:p w14:paraId="3D72B585" w14:textId="77777777" w:rsidR="00116006" w:rsidRPr="000578DE" w:rsidRDefault="00116006" w:rsidP="00116006">
      <w:pPr>
        <w:ind w:left="720"/>
        <w:jc w:val="both"/>
        <w:rPr>
          <w:rFonts w:ascii="Arial" w:hAnsi="Arial"/>
          <w:color w:val="000000"/>
          <w:lang w:val="ru-RU"/>
        </w:rPr>
      </w:pPr>
    </w:p>
    <w:p w14:paraId="74AA84CF" w14:textId="77777777" w:rsidR="00116006" w:rsidRPr="000578DE" w:rsidRDefault="00116006" w:rsidP="00116006">
      <w:pPr>
        <w:ind w:left="720"/>
        <w:jc w:val="both"/>
        <w:rPr>
          <w:rFonts w:ascii="Arial" w:hAnsi="Arial"/>
          <w:color w:val="000000"/>
          <w:lang w:val="ru-RU"/>
        </w:rPr>
      </w:pPr>
      <w:r w:rsidRPr="000578DE">
        <w:rPr>
          <w:rFonts w:ascii="Arial" w:hAnsi="Arial"/>
          <w:color w:val="000000"/>
          <w:lang w:val="ru-RU"/>
        </w:rPr>
        <w:t>На буровых установках опасные участки зачастую ограничены модулями, стенами или строениями.  Однако опасные участки могут существовать там, где нет легко определяемых границ, напр., буровые участки/ объекты.</w:t>
      </w:r>
    </w:p>
    <w:p w14:paraId="4CB5DCB4" w14:textId="77777777" w:rsidR="00116006" w:rsidRPr="000578DE" w:rsidRDefault="00116006" w:rsidP="00116006">
      <w:pPr>
        <w:ind w:left="720"/>
        <w:jc w:val="both"/>
        <w:rPr>
          <w:rFonts w:ascii="Arial" w:hAnsi="Arial"/>
          <w:color w:val="000000"/>
          <w:lang w:val="ru-RU"/>
        </w:rPr>
      </w:pPr>
    </w:p>
    <w:p w14:paraId="77E0C79E" w14:textId="77777777" w:rsidR="00116006" w:rsidRPr="000578DE" w:rsidRDefault="00116006" w:rsidP="00116006">
      <w:pPr>
        <w:ind w:left="720"/>
        <w:jc w:val="both"/>
        <w:rPr>
          <w:rFonts w:ascii="Arial" w:hAnsi="Arial"/>
          <w:color w:val="000000"/>
          <w:lang w:val="ru-RU"/>
        </w:rPr>
      </w:pPr>
      <w:r w:rsidRPr="000578DE">
        <w:rPr>
          <w:rFonts w:ascii="Arial" w:hAnsi="Arial"/>
          <w:color w:val="000000"/>
          <w:lang w:val="ru-RU"/>
        </w:rPr>
        <w:t>Из-за опасности возникновения пожара или взрыва существуют различные средства обнаружения и защиты, которые располагаются на опасных участках. Эти средства снижают до минимума риск опасности для персонала и повреждения оборудования.</w:t>
      </w:r>
    </w:p>
    <w:p w14:paraId="0556FDA0" w14:textId="77777777" w:rsidR="00116006" w:rsidRPr="000578DE" w:rsidRDefault="00116006" w:rsidP="00116006">
      <w:pPr>
        <w:ind w:left="720"/>
        <w:jc w:val="both"/>
        <w:rPr>
          <w:rFonts w:ascii="Arial" w:hAnsi="Arial"/>
          <w:color w:val="000000"/>
          <w:lang w:val="ru-RU"/>
        </w:rPr>
      </w:pPr>
    </w:p>
    <w:p w14:paraId="754C9519" w14:textId="77777777" w:rsidR="00116006" w:rsidRPr="000578DE" w:rsidRDefault="00116006" w:rsidP="00116006">
      <w:pPr>
        <w:ind w:left="720"/>
        <w:jc w:val="both"/>
        <w:rPr>
          <w:rFonts w:ascii="Arial" w:hAnsi="Arial"/>
          <w:color w:val="000000"/>
          <w:lang w:val="ru-RU"/>
        </w:rPr>
      </w:pPr>
      <w:r w:rsidRPr="000578DE">
        <w:rPr>
          <w:rFonts w:ascii="Arial" w:hAnsi="Arial"/>
          <w:color w:val="000000"/>
          <w:lang w:val="ru-RU"/>
        </w:rPr>
        <w:t>Соответствующие положения требуют размещения указателей «</w:t>
      </w:r>
      <w:r w:rsidRPr="000578DE">
        <w:rPr>
          <w:rFonts w:ascii="Arial" w:hAnsi="Arial"/>
          <w:b/>
          <w:color w:val="000000"/>
          <w:lang w:val="ru-RU"/>
        </w:rPr>
        <w:t>Опасная зона</w:t>
      </w:r>
      <w:r w:rsidRPr="000578DE">
        <w:rPr>
          <w:rFonts w:ascii="Arial" w:hAnsi="Arial"/>
          <w:color w:val="000000"/>
          <w:lang w:val="ru-RU"/>
        </w:rPr>
        <w:t>» над входом в модули, являющиеся опасной зоной. Эти указатели должны быть красного цвета и напечатаны шрифтом размером 50 мм.</w:t>
      </w:r>
    </w:p>
    <w:p w14:paraId="1600E635" w14:textId="77777777" w:rsidR="00116006" w:rsidRPr="00116006" w:rsidRDefault="00116006" w:rsidP="00116006">
      <w:pPr>
        <w:jc w:val="both"/>
        <w:rPr>
          <w:rFonts w:ascii="Arial" w:hAnsi="Arial"/>
          <w:color w:val="000000"/>
          <w:lang w:val="ru-RU"/>
        </w:rPr>
      </w:pPr>
    </w:p>
    <w:p w14:paraId="3B8C3820" w14:textId="77777777" w:rsidR="00116006" w:rsidRPr="00116006" w:rsidRDefault="00116006" w:rsidP="00116006">
      <w:pPr>
        <w:jc w:val="both"/>
        <w:rPr>
          <w:rFonts w:ascii="Arial" w:hAnsi="Arial"/>
          <w:color w:val="000000"/>
          <w:lang w:val="ru-RU"/>
        </w:rPr>
      </w:pPr>
    </w:p>
    <w:p w14:paraId="0D51F84C" w14:textId="77777777" w:rsidR="00116006" w:rsidRPr="000578DE" w:rsidRDefault="00116006" w:rsidP="00116006">
      <w:pPr>
        <w:jc w:val="both"/>
        <w:rPr>
          <w:rFonts w:ascii="Arial" w:hAnsi="Arial"/>
          <w:b/>
          <w:color w:val="000000"/>
          <w:lang w:val="ru-RU"/>
        </w:rPr>
      </w:pPr>
      <w:r w:rsidRPr="000578DE">
        <w:rPr>
          <w:rFonts w:ascii="Arial" w:hAnsi="Arial"/>
          <w:b/>
          <w:color w:val="000000"/>
          <w:lang w:val="ru-RU"/>
        </w:rPr>
        <w:t>2.0</w:t>
      </w:r>
      <w:r w:rsidRPr="000578DE">
        <w:rPr>
          <w:rFonts w:ascii="Arial" w:hAnsi="Arial"/>
          <w:b/>
          <w:color w:val="000000"/>
          <w:lang w:val="ru-RU"/>
        </w:rPr>
        <w:tab/>
      </w:r>
      <w:r w:rsidRPr="000578DE">
        <w:rPr>
          <w:rFonts w:ascii="Arial" w:hAnsi="Arial"/>
          <w:b/>
          <w:color w:val="000000"/>
          <w:u w:val="single"/>
          <w:lang w:val="ru-RU"/>
        </w:rPr>
        <w:t>Классификация участков</w:t>
      </w:r>
    </w:p>
    <w:p w14:paraId="1CAF38D4" w14:textId="77777777" w:rsidR="00116006" w:rsidRPr="000578DE" w:rsidRDefault="00116006" w:rsidP="00116006">
      <w:pPr>
        <w:ind w:left="720"/>
        <w:jc w:val="both"/>
        <w:rPr>
          <w:rFonts w:ascii="Arial" w:hAnsi="Arial"/>
          <w:color w:val="000000"/>
          <w:lang w:val="ru-RU"/>
        </w:rPr>
      </w:pPr>
      <w:r w:rsidRPr="000578DE">
        <w:rPr>
          <w:rFonts w:ascii="Arial" w:hAnsi="Arial"/>
          <w:color w:val="000000"/>
          <w:lang w:val="ru-RU"/>
        </w:rPr>
        <w:t>Участки считаются опасными, если есть вероятность возникновения пожара или взрыва по причине размещения на них емкостей с горючими и воспламеняющимися газами.  Эти опасные участки подразделяются на зоны по степени риска.</w:t>
      </w:r>
    </w:p>
    <w:p w14:paraId="0923DFDB" w14:textId="77777777" w:rsidR="00116006" w:rsidRPr="000578DE" w:rsidRDefault="00116006" w:rsidP="00116006">
      <w:pPr>
        <w:ind w:left="720"/>
        <w:jc w:val="both"/>
        <w:rPr>
          <w:rFonts w:ascii="Arial" w:hAnsi="Arial"/>
          <w:color w:val="000000"/>
          <w:lang w:val="ru-RU"/>
        </w:rPr>
      </w:pPr>
    </w:p>
    <w:p w14:paraId="404F88EF" w14:textId="77777777" w:rsidR="00116006" w:rsidRPr="000578DE" w:rsidRDefault="00116006" w:rsidP="00116006">
      <w:pPr>
        <w:ind w:left="2160" w:hanging="1440"/>
        <w:jc w:val="both"/>
        <w:rPr>
          <w:rFonts w:ascii="Arial" w:hAnsi="Arial"/>
          <w:color w:val="000000"/>
          <w:lang w:val="ru-RU"/>
        </w:rPr>
      </w:pPr>
      <w:r w:rsidRPr="000578DE">
        <w:rPr>
          <w:rFonts w:ascii="Arial" w:hAnsi="Arial"/>
          <w:b/>
          <w:color w:val="000000"/>
          <w:lang w:val="ru-RU"/>
        </w:rPr>
        <w:t>Класс I/Разд. I:</w:t>
      </w:r>
      <w:r w:rsidRPr="000578DE">
        <w:rPr>
          <w:rFonts w:ascii="Arial" w:hAnsi="Arial"/>
          <w:color w:val="000000"/>
          <w:lang w:val="ru-RU"/>
        </w:rPr>
        <w:tab/>
        <w:t>Участок, на котором присутствует взрывчатая смесь газа и воздуха (постоянно или в течение долгого времени).</w:t>
      </w:r>
    </w:p>
    <w:p w14:paraId="46451164" w14:textId="77777777" w:rsidR="00116006" w:rsidRPr="000578DE" w:rsidRDefault="00116006" w:rsidP="00116006">
      <w:pPr>
        <w:ind w:left="2160" w:hanging="1440"/>
        <w:jc w:val="both"/>
        <w:rPr>
          <w:rFonts w:ascii="Arial" w:hAnsi="Arial"/>
          <w:color w:val="000000"/>
          <w:lang w:val="ru-RU"/>
        </w:rPr>
      </w:pPr>
    </w:p>
    <w:p w14:paraId="62B8F7A0" w14:textId="77777777" w:rsidR="00116006" w:rsidRPr="000578DE" w:rsidRDefault="00116006" w:rsidP="00116006">
      <w:pPr>
        <w:ind w:left="2160" w:hanging="1440"/>
        <w:jc w:val="both"/>
        <w:rPr>
          <w:rFonts w:ascii="Arial" w:hAnsi="Arial"/>
          <w:color w:val="000000"/>
          <w:lang w:val="ru-RU"/>
        </w:rPr>
      </w:pPr>
      <w:r w:rsidRPr="000578DE">
        <w:rPr>
          <w:rFonts w:ascii="Arial" w:hAnsi="Arial"/>
          <w:b/>
          <w:color w:val="000000"/>
          <w:lang w:val="ru-RU"/>
        </w:rPr>
        <w:t>Класс I/Разд. II</w:t>
      </w:r>
      <w:r w:rsidRPr="000578DE">
        <w:rPr>
          <w:rFonts w:ascii="Arial" w:hAnsi="Arial"/>
          <w:color w:val="000000"/>
          <w:lang w:val="ru-RU"/>
        </w:rPr>
        <w:t>:</w:t>
      </w:r>
      <w:r w:rsidRPr="000578DE">
        <w:rPr>
          <w:rFonts w:ascii="Arial" w:hAnsi="Arial"/>
          <w:color w:val="000000"/>
          <w:lang w:val="ru-RU"/>
        </w:rPr>
        <w:tab/>
        <w:t>Участок, на котором взрывчатая смесь газа и воздуха может образоваться в ходе проведения работ.</w:t>
      </w:r>
    </w:p>
    <w:p w14:paraId="6D00AE35" w14:textId="77777777" w:rsidR="00116006" w:rsidRPr="000578DE" w:rsidRDefault="00116006" w:rsidP="00116006">
      <w:pPr>
        <w:ind w:left="2160" w:hanging="1440"/>
        <w:jc w:val="both"/>
        <w:rPr>
          <w:rFonts w:ascii="Arial" w:hAnsi="Arial"/>
          <w:color w:val="000000"/>
          <w:lang w:val="ru-RU"/>
        </w:rPr>
      </w:pPr>
    </w:p>
    <w:p w14:paraId="4E281579" w14:textId="77777777" w:rsidR="00116006" w:rsidRPr="000578DE" w:rsidRDefault="00116006" w:rsidP="00116006">
      <w:pPr>
        <w:ind w:left="2160" w:hanging="1440"/>
        <w:jc w:val="both"/>
        <w:rPr>
          <w:rFonts w:ascii="Arial" w:hAnsi="Arial"/>
          <w:color w:val="000000"/>
          <w:lang w:val="ru-RU"/>
        </w:rPr>
      </w:pPr>
      <w:r w:rsidRPr="000578DE">
        <w:rPr>
          <w:rFonts w:ascii="Arial" w:hAnsi="Arial"/>
          <w:b/>
          <w:color w:val="000000"/>
          <w:lang w:val="ru-RU"/>
        </w:rPr>
        <w:t>Класс II:</w:t>
      </w:r>
      <w:r w:rsidRPr="000578DE">
        <w:rPr>
          <w:rFonts w:ascii="Arial" w:hAnsi="Arial"/>
          <w:color w:val="000000"/>
          <w:lang w:val="ru-RU"/>
        </w:rPr>
        <w:tab/>
        <w:t>Участок, на котором взрывчатая смесь газа и воздуха не будет образовываться в ходе проведения работ или образуется на короткий период времени.</w:t>
      </w:r>
    </w:p>
    <w:p w14:paraId="72CCA449" w14:textId="77777777" w:rsidR="00116006" w:rsidRPr="000578DE" w:rsidRDefault="00116006" w:rsidP="00116006">
      <w:pPr>
        <w:ind w:left="720" w:hanging="1440"/>
        <w:jc w:val="both"/>
        <w:rPr>
          <w:rFonts w:ascii="Arial" w:hAnsi="Arial"/>
          <w:color w:val="000000"/>
          <w:lang w:val="ru-RU"/>
        </w:rPr>
      </w:pPr>
    </w:p>
    <w:p w14:paraId="2FC782DA" w14:textId="77777777" w:rsidR="00116006" w:rsidRPr="000578DE" w:rsidRDefault="00116006" w:rsidP="00116006">
      <w:pPr>
        <w:ind w:left="720"/>
        <w:jc w:val="both"/>
        <w:rPr>
          <w:rFonts w:ascii="Arial" w:hAnsi="Arial"/>
          <w:color w:val="000000"/>
          <w:lang w:val="ru-RU"/>
        </w:rPr>
      </w:pPr>
      <w:r w:rsidRPr="000578DE">
        <w:rPr>
          <w:rFonts w:ascii="Arial" w:hAnsi="Arial"/>
          <w:color w:val="000000"/>
          <w:lang w:val="ru-RU"/>
        </w:rPr>
        <w:t>Все другие участки считаются неопасными.</w:t>
      </w:r>
    </w:p>
    <w:p w14:paraId="13F3A244" w14:textId="77777777" w:rsidR="00116006" w:rsidRPr="000578DE" w:rsidRDefault="00116006" w:rsidP="00116006">
      <w:pPr>
        <w:ind w:left="1440"/>
        <w:jc w:val="both"/>
        <w:rPr>
          <w:rFonts w:ascii="Arial" w:hAnsi="Arial"/>
          <w:color w:val="000000"/>
          <w:lang w:val="ru-RU"/>
        </w:rPr>
      </w:pPr>
    </w:p>
    <w:p w14:paraId="04A4BF9B" w14:textId="77777777" w:rsidR="00116006" w:rsidRPr="000578DE" w:rsidRDefault="00116006" w:rsidP="00116006">
      <w:pPr>
        <w:pStyle w:val="31"/>
        <w:jc w:val="both"/>
        <w:rPr>
          <w:lang w:val="ru-RU"/>
        </w:rPr>
      </w:pPr>
      <w:r w:rsidRPr="000578DE">
        <w:rPr>
          <w:lang w:val="ru-RU"/>
        </w:rPr>
        <w:t>Классификация участка, на котором должны проводиться работы, будет указана в допуске на выполнение работ с приложением списка всех необходимых мер предосторожности.</w:t>
      </w:r>
    </w:p>
    <w:p w14:paraId="3F5759ED" w14:textId="77777777" w:rsidR="00116006" w:rsidRPr="00116006" w:rsidRDefault="00116006" w:rsidP="00116006">
      <w:pPr>
        <w:jc w:val="both"/>
        <w:rPr>
          <w:rFonts w:ascii="Arial" w:hAnsi="Arial"/>
          <w:color w:val="000000"/>
          <w:lang w:val="ru-RU"/>
        </w:rPr>
      </w:pPr>
    </w:p>
    <w:p w14:paraId="1521B0EB" w14:textId="77777777" w:rsidR="00116006" w:rsidRPr="00116006" w:rsidRDefault="00116006" w:rsidP="00116006">
      <w:pPr>
        <w:jc w:val="both"/>
        <w:rPr>
          <w:rFonts w:ascii="Arial" w:hAnsi="Arial"/>
          <w:color w:val="000000"/>
          <w:lang w:val="ru-RU"/>
        </w:rPr>
      </w:pPr>
    </w:p>
    <w:p w14:paraId="488CD65A" w14:textId="77777777" w:rsidR="00116006" w:rsidRPr="000578DE" w:rsidRDefault="00116006" w:rsidP="00116006">
      <w:pPr>
        <w:jc w:val="both"/>
        <w:rPr>
          <w:rFonts w:ascii="Arial" w:hAnsi="Arial"/>
          <w:b/>
          <w:color w:val="000000"/>
          <w:lang w:val="ru-RU"/>
        </w:rPr>
      </w:pPr>
      <w:r w:rsidRPr="000578DE">
        <w:rPr>
          <w:rFonts w:ascii="Arial" w:hAnsi="Arial"/>
          <w:b/>
          <w:color w:val="000000"/>
          <w:lang w:val="ru-RU"/>
        </w:rPr>
        <w:t>3.0</w:t>
      </w:r>
      <w:r w:rsidRPr="000578DE">
        <w:rPr>
          <w:rFonts w:ascii="Arial" w:hAnsi="Arial"/>
          <w:b/>
          <w:color w:val="000000"/>
          <w:lang w:val="ru-RU"/>
        </w:rPr>
        <w:tab/>
      </w:r>
      <w:r w:rsidRPr="000578DE">
        <w:rPr>
          <w:rFonts w:ascii="Arial" w:hAnsi="Arial"/>
          <w:b/>
          <w:color w:val="000000"/>
          <w:u w:val="single"/>
          <w:lang w:val="ru-RU"/>
        </w:rPr>
        <w:t>Безопасная практика ведения работ</w:t>
      </w:r>
    </w:p>
    <w:p w14:paraId="5E081043" w14:textId="77777777" w:rsidR="00116006" w:rsidRPr="000578DE" w:rsidRDefault="00116006" w:rsidP="00116006">
      <w:pPr>
        <w:pStyle w:val="31"/>
        <w:jc w:val="both"/>
        <w:rPr>
          <w:lang w:val="ru-RU"/>
        </w:rPr>
      </w:pPr>
      <w:r w:rsidRPr="000578DE">
        <w:rPr>
          <w:lang w:val="ru-RU"/>
        </w:rPr>
        <w:t>Для обеспечения безопасности персонала, необходимо, чтобы все оборудование, устанавливаемое и доставляемое на опасный участок, проходило тщательный осмотр и техническое обслуживание.  Это включает в себя: оборудование по обнаружению газа и пожара, ручные инструменты и переносное оборудование. Весь персонал должен знать потенциальные опасности, существующие на опасном участке, а также основные меры предосторожности, необходимые для обеспечения безопасной практики ведения работ.</w:t>
      </w:r>
    </w:p>
    <w:p w14:paraId="7664C4CF" w14:textId="77777777" w:rsidR="00116006" w:rsidRPr="000578DE" w:rsidRDefault="00116006" w:rsidP="00116006">
      <w:pPr>
        <w:pStyle w:val="31"/>
        <w:jc w:val="both"/>
        <w:rPr>
          <w:lang w:val="ru-RU"/>
        </w:rPr>
      </w:pPr>
    </w:p>
    <w:p w14:paraId="12DF3DAD" w14:textId="77777777" w:rsidR="00116006" w:rsidRPr="000578DE" w:rsidRDefault="00116006" w:rsidP="00116006">
      <w:pPr>
        <w:jc w:val="both"/>
        <w:rPr>
          <w:rFonts w:ascii="Arial" w:hAnsi="Arial"/>
          <w:b/>
          <w:color w:val="000000"/>
          <w:lang w:val="ru-RU"/>
        </w:rPr>
      </w:pPr>
      <w:r w:rsidRPr="000578DE">
        <w:rPr>
          <w:rFonts w:ascii="Arial" w:hAnsi="Arial"/>
          <w:b/>
          <w:color w:val="000000"/>
          <w:lang w:val="ru-RU"/>
        </w:rPr>
        <w:t>4.0</w:t>
      </w:r>
      <w:r w:rsidRPr="000578DE">
        <w:rPr>
          <w:rFonts w:ascii="Arial" w:hAnsi="Arial"/>
          <w:b/>
          <w:color w:val="000000"/>
          <w:lang w:val="ru-RU"/>
        </w:rPr>
        <w:tab/>
      </w:r>
      <w:r w:rsidRPr="000578DE">
        <w:rPr>
          <w:rFonts w:ascii="Arial" w:hAnsi="Arial"/>
          <w:b/>
          <w:color w:val="000000"/>
          <w:u w:val="single"/>
          <w:lang w:val="ru-RU"/>
        </w:rPr>
        <w:t>Проверка оборудования на опасном участке</w:t>
      </w:r>
    </w:p>
    <w:p w14:paraId="194DCEB9" w14:textId="77777777" w:rsidR="00116006" w:rsidRPr="000578DE" w:rsidRDefault="00116006" w:rsidP="00116006">
      <w:pPr>
        <w:ind w:left="720"/>
        <w:jc w:val="both"/>
        <w:rPr>
          <w:rFonts w:ascii="Arial" w:hAnsi="Arial"/>
          <w:color w:val="000000"/>
          <w:lang w:val="ru-RU"/>
        </w:rPr>
      </w:pPr>
      <w:r w:rsidRPr="000578DE">
        <w:rPr>
          <w:rFonts w:ascii="Arial" w:hAnsi="Arial"/>
          <w:color w:val="000000"/>
          <w:lang w:val="ru-RU"/>
        </w:rPr>
        <w:lastRenderedPageBreak/>
        <w:t>Все оборудование на опасных участках должно проходить осмотр во время установки и после демонтажа.  Части установки, поврежденные в результате ремонта или замены, должны быть проверены с занесением соответствующих данных о характере работ в соответствующую ведомость.</w:t>
      </w:r>
    </w:p>
    <w:p w14:paraId="59003D83" w14:textId="77777777" w:rsidR="00116006" w:rsidRPr="000578DE" w:rsidRDefault="00116006" w:rsidP="00116006">
      <w:pPr>
        <w:ind w:left="720"/>
        <w:jc w:val="both"/>
        <w:rPr>
          <w:rFonts w:ascii="Arial" w:hAnsi="Arial"/>
          <w:color w:val="000000"/>
          <w:lang w:val="ru-RU"/>
        </w:rPr>
      </w:pPr>
    </w:p>
    <w:p w14:paraId="7944AE2B" w14:textId="77777777" w:rsidR="00116006" w:rsidRPr="000578DE" w:rsidRDefault="00116006" w:rsidP="00116006">
      <w:pPr>
        <w:pStyle w:val="31"/>
        <w:jc w:val="both"/>
        <w:rPr>
          <w:lang w:val="ru-RU"/>
        </w:rPr>
      </w:pPr>
      <w:r w:rsidRPr="000578DE">
        <w:rPr>
          <w:lang w:val="ru-RU"/>
        </w:rPr>
        <w:t>Первоначальные и плановые проверки оборудования должны проводиться в соответствии с установленными процедурами. В случае изменения классификации участка или характеристики горючего материала, находящегося на участке, необходимо провести проверку и удостовериться в актуальности группы газа и классификации температуры оборудования.</w:t>
      </w:r>
    </w:p>
    <w:p w14:paraId="5ADA90D2" w14:textId="77777777" w:rsidR="00116006" w:rsidRPr="00116006" w:rsidRDefault="00116006" w:rsidP="00116006">
      <w:pPr>
        <w:jc w:val="both"/>
        <w:rPr>
          <w:rFonts w:ascii="Arial" w:hAnsi="Arial"/>
          <w:b/>
          <w:color w:val="000000"/>
          <w:lang w:val="ru-RU"/>
        </w:rPr>
      </w:pPr>
    </w:p>
    <w:p w14:paraId="0DF2A308" w14:textId="77777777" w:rsidR="00116006" w:rsidRPr="00116006" w:rsidRDefault="00116006" w:rsidP="00116006">
      <w:pPr>
        <w:jc w:val="both"/>
        <w:rPr>
          <w:rFonts w:ascii="Arial" w:hAnsi="Arial"/>
          <w:b/>
          <w:color w:val="000000"/>
          <w:lang w:val="ru-RU"/>
        </w:rPr>
      </w:pPr>
    </w:p>
    <w:p w14:paraId="30651C1C" w14:textId="77777777" w:rsidR="00116006" w:rsidRPr="000578DE" w:rsidRDefault="00116006" w:rsidP="00116006">
      <w:pPr>
        <w:jc w:val="both"/>
        <w:rPr>
          <w:rFonts w:ascii="Arial" w:hAnsi="Arial"/>
          <w:b/>
          <w:color w:val="000000"/>
          <w:lang w:val="ru-RU"/>
        </w:rPr>
      </w:pPr>
      <w:r w:rsidRPr="000578DE">
        <w:rPr>
          <w:rFonts w:ascii="Arial" w:hAnsi="Arial"/>
          <w:b/>
          <w:color w:val="000000"/>
          <w:lang w:val="ru-RU"/>
        </w:rPr>
        <w:t>5.0</w:t>
      </w:r>
      <w:r w:rsidRPr="000578DE">
        <w:rPr>
          <w:rFonts w:ascii="Arial" w:hAnsi="Arial"/>
          <w:b/>
          <w:color w:val="000000"/>
          <w:lang w:val="ru-RU"/>
        </w:rPr>
        <w:tab/>
      </w:r>
      <w:r w:rsidRPr="000578DE">
        <w:rPr>
          <w:rFonts w:ascii="Arial" w:hAnsi="Arial"/>
          <w:b/>
          <w:color w:val="000000"/>
          <w:u w:val="single"/>
          <w:lang w:val="ru-RU"/>
        </w:rPr>
        <w:t>Переносное оборудование</w:t>
      </w:r>
    </w:p>
    <w:p w14:paraId="31F42C79" w14:textId="77777777" w:rsidR="00116006" w:rsidRPr="000578DE" w:rsidRDefault="00116006" w:rsidP="00116006">
      <w:pPr>
        <w:pStyle w:val="31"/>
        <w:jc w:val="both"/>
        <w:rPr>
          <w:lang w:val="ru-RU"/>
        </w:rPr>
      </w:pPr>
      <w:r w:rsidRPr="000578DE">
        <w:rPr>
          <w:lang w:val="ru-RU"/>
        </w:rPr>
        <w:t>Переносная аппаратура, используемая на опасных участках, должна регулярно проверяться с реализацией системы указания даты проведения проверки.  Персонал должен проверять переносную аппаратуру непосредственно перед ее использованием. Особое внимание необходимо обратить на изоляцию и кабели.  Кабели должны быть достаточно длинными для подсоединения переносной аппаратуры без использования удлинителей.</w:t>
      </w:r>
    </w:p>
    <w:p w14:paraId="7F5AF0AD" w14:textId="77777777" w:rsidR="00116006" w:rsidRPr="00116006" w:rsidRDefault="00116006" w:rsidP="00116006">
      <w:pPr>
        <w:ind w:left="1440"/>
        <w:jc w:val="both"/>
        <w:rPr>
          <w:rFonts w:ascii="Arial" w:hAnsi="Arial"/>
          <w:color w:val="000000"/>
          <w:lang w:val="ru-RU"/>
        </w:rPr>
      </w:pPr>
    </w:p>
    <w:p w14:paraId="5ED00B11" w14:textId="77777777" w:rsidR="00116006" w:rsidRPr="00116006" w:rsidRDefault="00116006" w:rsidP="00116006">
      <w:pPr>
        <w:ind w:left="1440"/>
        <w:jc w:val="both"/>
        <w:rPr>
          <w:rFonts w:ascii="Arial" w:hAnsi="Arial"/>
          <w:color w:val="000000"/>
          <w:lang w:val="ru-RU"/>
        </w:rPr>
      </w:pPr>
    </w:p>
    <w:p w14:paraId="6E456C81" w14:textId="77777777" w:rsidR="00116006" w:rsidRPr="000578DE" w:rsidRDefault="00116006" w:rsidP="00116006">
      <w:pPr>
        <w:jc w:val="both"/>
        <w:rPr>
          <w:rFonts w:ascii="Arial" w:hAnsi="Arial"/>
          <w:b/>
          <w:color w:val="000000"/>
          <w:lang w:val="ru-RU"/>
        </w:rPr>
      </w:pPr>
      <w:r w:rsidRPr="000578DE">
        <w:rPr>
          <w:rFonts w:ascii="Arial" w:hAnsi="Arial"/>
          <w:b/>
          <w:color w:val="000000"/>
          <w:lang w:val="ru-RU"/>
        </w:rPr>
        <w:t>6.0</w:t>
      </w:r>
      <w:r w:rsidRPr="000578DE">
        <w:rPr>
          <w:rFonts w:ascii="Arial" w:hAnsi="Arial"/>
          <w:b/>
          <w:color w:val="000000"/>
          <w:lang w:val="ru-RU"/>
        </w:rPr>
        <w:tab/>
      </w:r>
      <w:r w:rsidRPr="000578DE">
        <w:rPr>
          <w:rFonts w:ascii="Arial" w:hAnsi="Arial"/>
          <w:b/>
          <w:color w:val="000000"/>
          <w:u w:val="single"/>
          <w:lang w:val="ru-RU"/>
        </w:rPr>
        <w:t>Ручные инструменты</w:t>
      </w:r>
    </w:p>
    <w:p w14:paraId="78608F30" w14:textId="77777777" w:rsidR="00116006" w:rsidRPr="000578DE" w:rsidRDefault="00116006" w:rsidP="00116006">
      <w:pPr>
        <w:ind w:left="720"/>
        <w:jc w:val="both"/>
        <w:rPr>
          <w:rFonts w:ascii="Arial" w:hAnsi="Arial"/>
          <w:color w:val="000000"/>
          <w:lang w:val="ru-RU"/>
        </w:rPr>
      </w:pPr>
      <w:r w:rsidRPr="000578DE">
        <w:rPr>
          <w:rFonts w:ascii="Arial" w:hAnsi="Arial"/>
          <w:color w:val="000000"/>
          <w:lang w:val="ru-RU"/>
        </w:rPr>
        <w:t xml:space="preserve">Использование металлических ручных инструментов на опасных участках представляет опасность из-за возможного образования искр от ударов. Участки, на которых используются ручные металлические инструменты, не должны содержать газов. Необходимо принимать меры предосторожности для поддержания безопасной среды во время проведения работ.  Возможность образования искр можно эффективно снизить, смазывая инструменты тяжелым маслом или смачивая водой.  Этот метод рекомендуется тогда, когда инструмент ударяется о бетон. В этом случае, по возможности, поверхность контакта должна быть смочена водой. </w:t>
      </w:r>
    </w:p>
    <w:p w14:paraId="2B622E3B" w14:textId="77777777" w:rsidR="00116006" w:rsidRPr="00116006" w:rsidRDefault="00116006" w:rsidP="00116006">
      <w:pPr>
        <w:jc w:val="both"/>
        <w:rPr>
          <w:rFonts w:ascii="Arial" w:hAnsi="Arial"/>
          <w:color w:val="000000"/>
          <w:lang w:val="ru-RU"/>
        </w:rPr>
      </w:pPr>
    </w:p>
    <w:p w14:paraId="709468C5" w14:textId="77777777" w:rsidR="00116006" w:rsidRPr="00116006" w:rsidRDefault="00116006" w:rsidP="00116006">
      <w:pPr>
        <w:jc w:val="both"/>
        <w:rPr>
          <w:rFonts w:ascii="Arial" w:hAnsi="Arial"/>
          <w:color w:val="000000"/>
          <w:lang w:val="ru-RU"/>
        </w:rPr>
      </w:pPr>
    </w:p>
    <w:p w14:paraId="08843785" w14:textId="77777777" w:rsidR="00116006" w:rsidRPr="000578DE" w:rsidRDefault="00116006" w:rsidP="00116006">
      <w:pPr>
        <w:jc w:val="both"/>
        <w:rPr>
          <w:rFonts w:ascii="Arial" w:hAnsi="Arial"/>
          <w:b/>
          <w:color w:val="000000"/>
          <w:lang w:val="ru-RU"/>
        </w:rPr>
      </w:pPr>
      <w:r w:rsidRPr="000578DE">
        <w:rPr>
          <w:rFonts w:ascii="Arial" w:hAnsi="Arial"/>
          <w:b/>
          <w:color w:val="000000"/>
          <w:lang w:val="ru-RU"/>
        </w:rPr>
        <w:t>7.0</w:t>
      </w:r>
      <w:r w:rsidRPr="000578DE">
        <w:rPr>
          <w:rFonts w:ascii="Arial" w:hAnsi="Arial"/>
          <w:b/>
          <w:color w:val="000000"/>
          <w:lang w:val="ru-RU"/>
        </w:rPr>
        <w:tab/>
      </w:r>
      <w:r w:rsidRPr="000578DE">
        <w:rPr>
          <w:rFonts w:ascii="Arial" w:hAnsi="Arial"/>
          <w:b/>
          <w:color w:val="000000"/>
          <w:u w:val="single"/>
          <w:lang w:val="ru-RU"/>
        </w:rPr>
        <w:t>Пункты огневых работ (на морских установках)</w:t>
      </w:r>
    </w:p>
    <w:p w14:paraId="535296CC" w14:textId="77777777" w:rsidR="00116006" w:rsidRPr="000578DE" w:rsidRDefault="00116006" w:rsidP="00116006">
      <w:pPr>
        <w:pStyle w:val="23"/>
        <w:ind w:left="720"/>
        <w:jc w:val="both"/>
        <w:rPr>
          <w:lang w:val="ru-RU"/>
        </w:rPr>
      </w:pPr>
      <w:r w:rsidRPr="000578DE">
        <w:rPr>
          <w:lang w:val="ru-RU"/>
        </w:rPr>
        <w:t>Создание переносных герметизированных сварочных пунктов, изготовленных из панелей многократного использования, может при определенных обстоятельствах допускать огневые работы на опасных участках без необходимости ожидания отключения производственных циклов.  Снабжение пунктов сжатым воздухом, электропитанием и системами аварийной сигнализацией обеспечивается через эксплуатационную панель.  На каждой панели используется воздухонепроницаемое уплотнение с надувным уплотнением в каждой точке проникновения.  Это обеспечивает создание полностью закрытого герметизированного участка.  Положительный дифференциал давления поддерживается для предупреждения проникновения дыма и позволяет оператору завершить работу в контролируемой среде.</w:t>
      </w:r>
    </w:p>
    <w:p w14:paraId="17DD94E3" w14:textId="77777777" w:rsidR="004B6F14" w:rsidRPr="00116006" w:rsidRDefault="004B6F14">
      <w:pPr>
        <w:rPr>
          <w:lang w:val="ru-RU"/>
        </w:rPr>
      </w:pPr>
    </w:p>
    <w:sectPr w:rsidR="004B6F14" w:rsidRPr="00116006" w:rsidSect="00116006">
      <w:headerReference w:type="default" r:id="rId4"/>
      <w:footerReference w:type="default" r:id="rId5"/>
      <w:footerReference w:type="first" r:id="rId6"/>
      <w:pgSz w:w="12240" w:h="15840" w:code="1"/>
      <w:pgMar w:top="720" w:right="1440" w:bottom="72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D358" w14:textId="77777777" w:rsidR="00000000" w:rsidRDefault="00000000">
    <w:pPr>
      <w:pStyle w:val="ac"/>
      <w:pBdr>
        <w:top w:val="single" w:sz="6" w:space="1" w:color="auto"/>
      </w:pBdr>
      <w:jc w:val="right"/>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1486D" w14:textId="77777777" w:rsidR="00000000" w:rsidRDefault="00000000">
    <w:pPr>
      <w:pStyle w:val="ac"/>
      <w:pBdr>
        <w:top w:val="single" w:sz="6" w:space="1" w:color="auto"/>
      </w:pBdr>
      <w:jc w:val="right"/>
      <w:rPr>
        <w:rFonts w:ascii="Arial" w:hAnsi="Arial"/>
        <w:sz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FF3C4" w14:textId="77777777" w:rsidR="00000000" w:rsidRPr="009965C5" w:rsidRDefault="00000000">
    <w:pPr>
      <w:pStyle w:val="ae"/>
      <w:jc w:val="right"/>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AA"/>
    <w:rsid w:val="00116006"/>
    <w:rsid w:val="004B6F14"/>
    <w:rsid w:val="00A528AA"/>
    <w:rsid w:val="00A65FCC"/>
    <w:rsid w:val="00DE4CA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9BD87-A437-4380-B548-D7BBF623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006"/>
    <w:pPr>
      <w:spacing w:after="0" w:line="240" w:lineRule="auto"/>
    </w:pPr>
    <w:rPr>
      <w:rFonts w:ascii="Times" w:eastAsia="Times New Roman" w:hAnsi="Times" w:cs="Times New Roman"/>
      <w:kern w:val="0"/>
      <w:sz w:val="20"/>
      <w:szCs w:val="20"/>
      <w:lang w:val="en-US"/>
      <w14:ligatures w14:val="none"/>
    </w:rPr>
  </w:style>
  <w:style w:type="paragraph" w:styleId="1">
    <w:name w:val="heading 1"/>
    <w:basedOn w:val="a"/>
    <w:next w:val="a"/>
    <w:link w:val="10"/>
    <w:uiPriority w:val="9"/>
    <w:qFormat/>
    <w:rsid w:val="00A528A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u-KZ"/>
      <w14:ligatures w14:val="standardContextual"/>
    </w:rPr>
  </w:style>
  <w:style w:type="paragraph" w:styleId="2">
    <w:name w:val="heading 2"/>
    <w:basedOn w:val="a"/>
    <w:next w:val="a"/>
    <w:link w:val="20"/>
    <w:uiPriority w:val="9"/>
    <w:semiHidden/>
    <w:unhideWhenUsed/>
    <w:qFormat/>
    <w:rsid w:val="00A528A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u-KZ"/>
      <w14:ligatures w14:val="standardContextual"/>
    </w:rPr>
  </w:style>
  <w:style w:type="paragraph" w:styleId="3">
    <w:name w:val="heading 3"/>
    <w:basedOn w:val="a"/>
    <w:next w:val="a"/>
    <w:link w:val="30"/>
    <w:uiPriority w:val="9"/>
    <w:semiHidden/>
    <w:unhideWhenUsed/>
    <w:qFormat/>
    <w:rsid w:val="00A528A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ru-KZ"/>
      <w14:ligatures w14:val="standardContextual"/>
    </w:rPr>
  </w:style>
  <w:style w:type="paragraph" w:styleId="4">
    <w:name w:val="heading 4"/>
    <w:basedOn w:val="a"/>
    <w:next w:val="a"/>
    <w:link w:val="40"/>
    <w:unhideWhenUsed/>
    <w:qFormat/>
    <w:rsid w:val="00A528A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ru-KZ"/>
      <w14:ligatures w14:val="standardContextual"/>
    </w:rPr>
  </w:style>
  <w:style w:type="paragraph" w:styleId="5">
    <w:name w:val="heading 5"/>
    <w:basedOn w:val="a"/>
    <w:next w:val="a"/>
    <w:link w:val="50"/>
    <w:unhideWhenUsed/>
    <w:qFormat/>
    <w:rsid w:val="00A528AA"/>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ru-KZ"/>
      <w14:ligatures w14:val="standardContextual"/>
    </w:rPr>
  </w:style>
  <w:style w:type="paragraph" w:styleId="6">
    <w:name w:val="heading 6"/>
    <w:basedOn w:val="a"/>
    <w:next w:val="a"/>
    <w:link w:val="60"/>
    <w:uiPriority w:val="9"/>
    <w:semiHidden/>
    <w:unhideWhenUsed/>
    <w:qFormat/>
    <w:rsid w:val="00A528A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ru-KZ"/>
      <w14:ligatures w14:val="standardContextual"/>
    </w:rPr>
  </w:style>
  <w:style w:type="paragraph" w:styleId="7">
    <w:name w:val="heading 7"/>
    <w:basedOn w:val="a"/>
    <w:next w:val="a"/>
    <w:link w:val="70"/>
    <w:uiPriority w:val="9"/>
    <w:semiHidden/>
    <w:unhideWhenUsed/>
    <w:qFormat/>
    <w:rsid w:val="00A528A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ru-KZ"/>
      <w14:ligatures w14:val="standardContextual"/>
    </w:rPr>
  </w:style>
  <w:style w:type="paragraph" w:styleId="8">
    <w:name w:val="heading 8"/>
    <w:basedOn w:val="a"/>
    <w:next w:val="a"/>
    <w:link w:val="80"/>
    <w:uiPriority w:val="9"/>
    <w:semiHidden/>
    <w:unhideWhenUsed/>
    <w:qFormat/>
    <w:rsid w:val="00A528A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ru-KZ"/>
      <w14:ligatures w14:val="standardContextual"/>
    </w:rPr>
  </w:style>
  <w:style w:type="paragraph" w:styleId="9">
    <w:name w:val="heading 9"/>
    <w:basedOn w:val="a"/>
    <w:next w:val="a"/>
    <w:link w:val="90"/>
    <w:uiPriority w:val="9"/>
    <w:semiHidden/>
    <w:unhideWhenUsed/>
    <w:qFormat/>
    <w:rsid w:val="00A528AA"/>
    <w:pPr>
      <w:keepNext/>
      <w:keepLines/>
      <w:spacing w:line="259" w:lineRule="auto"/>
      <w:outlineLvl w:val="8"/>
    </w:pPr>
    <w:rPr>
      <w:rFonts w:asciiTheme="minorHAnsi" w:eastAsiaTheme="majorEastAsia" w:hAnsiTheme="minorHAnsi" w:cstheme="majorBidi"/>
      <w:color w:val="272727" w:themeColor="text1" w:themeTint="D8"/>
      <w:kern w:val="2"/>
      <w:sz w:val="22"/>
      <w:szCs w:val="22"/>
      <w:lang w:val="ru-KZ"/>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28A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528A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528A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528A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528A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528A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28AA"/>
    <w:rPr>
      <w:rFonts w:eastAsiaTheme="majorEastAsia" w:cstheme="majorBidi"/>
      <w:color w:val="595959" w:themeColor="text1" w:themeTint="A6"/>
    </w:rPr>
  </w:style>
  <w:style w:type="character" w:customStyle="1" w:styleId="80">
    <w:name w:val="Заголовок 8 Знак"/>
    <w:basedOn w:val="a0"/>
    <w:link w:val="8"/>
    <w:uiPriority w:val="9"/>
    <w:semiHidden/>
    <w:rsid w:val="00A528A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28AA"/>
    <w:rPr>
      <w:rFonts w:eastAsiaTheme="majorEastAsia" w:cstheme="majorBidi"/>
      <w:color w:val="272727" w:themeColor="text1" w:themeTint="D8"/>
    </w:rPr>
  </w:style>
  <w:style w:type="paragraph" w:styleId="a3">
    <w:name w:val="Title"/>
    <w:basedOn w:val="a"/>
    <w:next w:val="a"/>
    <w:link w:val="a4"/>
    <w:uiPriority w:val="10"/>
    <w:qFormat/>
    <w:rsid w:val="00A528AA"/>
    <w:pPr>
      <w:spacing w:after="80"/>
      <w:contextualSpacing/>
    </w:pPr>
    <w:rPr>
      <w:rFonts w:asciiTheme="majorHAnsi" w:eastAsiaTheme="majorEastAsia" w:hAnsiTheme="majorHAnsi" w:cstheme="majorBidi"/>
      <w:spacing w:val="-10"/>
      <w:kern w:val="28"/>
      <w:sz w:val="56"/>
      <w:szCs w:val="56"/>
      <w:lang w:val="ru-KZ"/>
      <w14:ligatures w14:val="standardContextual"/>
    </w:rPr>
  </w:style>
  <w:style w:type="character" w:customStyle="1" w:styleId="a4">
    <w:name w:val="Заголовок Знак"/>
    <w:basedOn w:val="a0"/>
    <w:link w:val="a3"/>
    <w:uiPriority w:val="10"/>
    <w:rsid w:val="00A52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8A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ru-KZ"/>
      <w14:ligatures w14:val="standardContextual"/>
    </w:rPr>
  </w:style>
  <w:style w:type="character" w:customStyle="1" w:styleId="a6">
    <w:name w:val="Подзаголовок Знак"/>
    <w:basedOn w:val="a0"/>
    <w:link w:val="a5"/>
    <w:uiPriority w:val="11"/>
    <w:rsid w:val="00A528A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28AA"/>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ru-KZ"/>
      <w14:ligatures w14:val="standardContextual"/>
    </w:rPr>
  </w:style>
  <w:style w:type="character" w:customStyle="1" w:styleId="22">
    <w:name w:val="Цитата 2 Знак"/>
    <w:basedOn w:val="a0"/>
    <w:link w:val="21"/>
    <w:uiPriority w:val="29"/>
    <w:rsid w:val="00A528AA"/>
    <w:rPr>
      <w:i/>
      <w:iCs/>
      <w:color w:val="404040" w:themeColor="text1" w:themeTint="BF"/>
    </w:rPr>
  </w:style>
  <w:style w:type="paragraph" w:styleId="a7">
    <w:name w:val="List Paragraph"/>
    <w:basedOn w:val="a"/>
    <w:uiPriority w:val="34"/>
    <w:qFormat/>
    <w:rsid w:val="00A528AA"/>
    <w:pPr>
      <w:spacing w:after="160" w:line="259" w:lineRule="auto"/>
      <w:ind w:left="720"/>
      <w:contextualSpacing/>
    </w:pPr>
    <w:rPr>
      <w:rFonts w:asciiTheme="minorHAnsi" w:eastAsiaTheme="minorHAnsi" w:hAnsiTheme="minorHAnsi" w:cstheme="minorBidi"/>
      <w:kern w:val="2"/>
      <w:sz w:val="22"/>
      <w:szCs w:val="22"/>
      <w:lang w:val="ru-KZ"/>
      <w14:ligatures w14:val="standardContextual"/>
    </w:rPr>
  </w:style>
  <w:style w:type="character" w:styleId="a8">
    <w:name w:val="Intense Emphasis"/>
    <w:basedOn w:val="a0"/>
    <w:uiPriority w:val="21"/>
    <w:qFormat/>
    <w:rsid w:val="00A528AA"/>
    <w:rPr>
      <w:i/>
      <w:iCs/>
      <w:color w:val="2F5496" w:themeColor="accent1" w:themeShade="BF"/>
    </w:rPr>
  </w:style>
  <w:style w:type="paragraph" w:styleId="a9">
    <w:name w:val="Intense Quote"/>
    <w:basedOn w:val="a"/>
    <w:next w:val="a"/>
    <w:link w:val="aa"/>
    <w:uiPriority w:val="30"/>
    <w:qFormat/>
    <w:rsid w:val="00A528A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ru-KZ"/>
      <w14:ligatures w14:val="standardContextual"/>
    </w:rPr>
  </w:style>
  <w:style w:type="character" w:customStyle="1" w:styleId="aa">
    <w:name w:val="Выделенная цитата Знак"/>
    <w:basedOn w:val="a0"/>
    <w:link w:val="a9"/>
    <w:uiPriority w:val="30"/>
    <w:rsid w:val="00A528AA"/>
    <w:rPr>
      <w:i/>
      <w:iCs/>
      <w:color w:val="2F5496" w:themeColor="accent1" w:themeShade="BF"/>
    </w:rPr>
  </w:style>
  <w:style w:type="character" w:styleId="ab">
    <w:name w:val="Intense Reference"/>
    <w:basedOn w:val="a0"/>
    <w:uiPriority w:val="32"/>
    <w:qFormat/>
    <w:rsid w:val="00A528AA"/>
    <w:rPr>
      <w:b/>
      <w:bCs/>
      <w:smallCaps/>
      <w:color w:val="2F5496" w:themeColor="accent1" w:themeShade="BF"/>
      <w:spacing w:val="5"/>
    </w:rPr>
  </w:style>
  <w:style w:type="paragraph" w:styleId="ac">
    <w:name w:val="footer"/>
    <w:basedOn w:val="a"/>
    <w:link w:val="ad"/>
    <w:rsid w:val="00116006"/>
    <w:pPr>
      <w:tabs>
        <w:tab w:val="center" w:pos="4819"/>
        <w:tab w:val="right" w:pos="9071"/>
      </w:tabs>
    </w:pPr>
  </w:style>
  <w:style w:type="character" w:customStyle="1" w:styleId="ad">
    <w:name w:val="Нижний колонтитул Знак"/>
    <w:basedOn w:val="a0"/>
    <w:link w:val="ac"/>
    <w:rsid w:val="00116006"/>
    <w:rPr>
      <w:rFonts w:ascii="Times" w:eastAsia="Times New Roman" w:hAnsi="Times" w:cs="Times New Roman"/>
      <w:kern w:val="0"/>
      <w:sz w:val="20"/>
      <w:szCs w:val="20"/>
      <w:lang w:val="en-US"/>
      <w14:ligatures w14:val="none"/>
    </w:rPr>
  </w:style>
  <w:style w:type="paragraph" w:styleId="ae">
    <w:name w:val="header"/>
    <w:basedOn w:val="a"/>
    <w:link w:val="af"/>
    <w:rsid w:val="00116006"/>
    <w:pPr>
      <w:tabs>
        <w:tab w:val="center" w:pos="4819"/>
        <w:tab w:val="right" w:pos="9071"/>
      </w:tabs>
    </w:pPr>
  </w:style>
  <w:style w:type="character" w:customStyle="1" w:styleId="af">
    <w:name w:val="Верхний колонтитул Знак"/>
    <w:basedOn w:val="a0"/>
    <w:link w:val="ae"/>
    <w:rsid w:val="00116006"/>
    <w:rPr>
      <w:rFonts w:ascii="Times" w:eastAsia="Times New Roman" w:hAnsi="Times" w:cs="Times New Roman"/>
      <w:kern w:val="0"/>
      <w:sz w:val="20"/>
      <w:szCs w:val="20"/>
      <w:lang w:val="en-US"/>
      <w14:ligatures w14:val="none"/>
    </w:rPr>
  </w:style>
  <w:style w:type="paragraph" w:styleId="23">
    <w:name w:val="Body Text Indent 2"/>
    <w:basedOn w:val="a"/>
    <w:link w:val="24"/>
    <w:rsid w:val="00116006"/>
    <w:pPr>
      <w:ind w:left="1440"/>
    </w:pPr>
    <w:rPr>
      <w:rFonts w:ascii="Arial" w:hAnsi="Arial"/>
      <w:color w:val="000000"/>
    </w:rPr>
  </w:style>
  <w:style w:type="character" w:customStyle="1" w:styleId="24">
    <w:name w:val="Основной текст с отступом 2 Знак"/>
    <w:basedOn w:val="a0"/>
    <w:link w:val="23"/>
    <w:rsid w:val="00116006"/>
    <w:rPr>
      <w:rFonts w:ascii="Arial" w:eastAsia="Times New Roman" w:hAnsi="Arial" w:cs="Times New Roman"/>
      <w:color w:val="000000"/>
      <w:kern w:val="0"/>
      <w:sz w:val="20"/>
      <w:szCs w:val="20"/>
      <w:lang w:val="en-US"/>
      <w14:ligatures w14:val="none"/>
    </w:rPr>
  </w:style>
  <w:style w:type="paragraph" w:styleId="31">
    <w:name w:val="Body Text Indent 3"/>
    <w:basedOn w:val="a"/>
    <w:link w:val="32"/>
    <w:rsid w:val="00116006"/>
    <w:pPr>
      <w:ind w:left="720"/>
    </w:pPr>
    <w:rPr>
      <w:rFonts w:ascii="Arial" w:hAnsi="Arial"/>
      <w:color w:val="000000"/>
    </w:rPr>
  </w:style>
  <w:style w:type="character" w:customStyle="1" w:styleId="32">
    <w:name w:val="Основной текст с отступом 3 Знак"/>
    <w:basedOn w:val="a0"/>
    <w:link w:val="31"/>
    <w:rsid w:val="00116006"/>
    <w:rPr>
      <w:rFonts w:ascii="Arial" w:eastAsia="Times New Roman" w:hAnsi="Arial" w:cs="Times New Roman"/>
      <w:color w:val="000000"/>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Tota</dc:creator>
  <cp:keywords/>
  <dc:description/>
  <cp:lastModifiedBy>Tota</cp:lastModifiedBy>
  <cp:revision>2</cp:revision>
  <dcterms:created xsi:type="dcterms:W3CDTF">2025-06-17T07:38:00Z</dcterms:created>
  <dcterms:modified xsi:type="dcterms:W3CDTF">2025-06-17T07:39:00Z</dcterms:modified>
</cp:coreProperties>
</file>